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590" w:lineRule="exact"/>
        <w:rPr>
          <w:rFonts w:hint="eastAsia" w:ascii="仿宋_GB2312" w:hAnsi="仿宋"/>
          <w:szCs w:val="32"/>
          <w:lang w:eastAsia="zh-CN"/>
        </w:rPr>
      </w:pPr>
      <w:r>
        <w:rPr>
          <w:rFonts w:hint="eastAsia" w:ascii="仿宋_GB2312" w:hAnsi="仿宋"/>
          <w:szCs w:val="32"/>
          <w:lang w:eastAsia="zh-CN"/>
        </w:rPr>
        <w:t>附件：</w:t>
      </w:r>
    </w:p>
    <w:p>
      <w:pPr>
        <w:tabs>
          <w:tab w:val="left" w:pos="900"/>
        </w:tabs>
        <w:spacing w:line="590" w:lineRule="exact"/>
        <w:jc w:val="center"/>
        <w:rPr>
          <w:rFonts w:hint="eastAsia" w:ascii="仿宋_GB2312" w:hAnsi="仿宋"/>
          <w:szCs w:val="32"/>
          <w:lang w:val="en-US" w:eastAsia="zh-CN"/>
        </w:rPr>
      </w:pPr>
    </w:p>
    <w:p>
      <w:pPr>
        <w:tabs>
          <w:tab w:val="left" w:pos="900"/>
        </w:tabs>
        <w:spacing w:line="590" w:lineRule="exact"/>
        <w:jc w:val="center"/>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2019宁波市各文艺家协会审计项目</w:t>
      </w:r>
    </w:p>
    <w:p>
      <w:pPr>
        <w:tabs>
          <w:tab w:val="left" w:pos="900"/>
        </w:tabs>
        <w:spacing w:line="590" w:lineRule="exact"/>
        <w:jc w:val="center"/>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t>关注重点</w:t>
      </w:r>
    </w:p>
    <w:p>
      <w:pPr>
        <w:tabs>
          <w:tab w:val="left" w:pos="900"/>
        </w:tabs>
        <w:spacing w:line="590" w:lineRule="exact"/>
        <w:ind w:firstLine="640" w:firstLineChars="200"/>
        <w:rPr>
          <w:rFonts w:hint="eastAsia" w:ascii="仿宋_GB2312" w:hAnsi="仿宋"/>
          <w:szCs w:val="32"/>
        </w:rPr>
      </w:pPr>
    </w:p>
    <w:p>
      <w:pPr>
        <w:tabs>
          <w:tab w:val="left" w:pos="900"/>
        </w:tabs>
        <w:spacing w:line="590" w:lineRule="exact"/>
        <w:ind w:firstLine="640" w:firstLineChars="200"/>
        <w:rPr>
          <w:rFonts w:ascii="仿宋_GB2312" w:hAnsi="仿宋"/>
          <w:szCs w:val="32"/>
        </w:rPr>
      </w:pPr>
      <w:r>
        <w:rPr>
          <w:rFonts w:hint="eastAsia" w:ascii="仿宋_GB2312" w:hAnsi="仿宋"/>
          <w:szCs w:val="32"/>
        </w:rPr>
        <w:t>严格按照《中央八项规定实施细则》要求，对“三公”经费、会议费、培训费和津补贴发放情况等进行审计。</w:t>
      </w:r>
    </w:p>
    <w:p>
      <w:pPr>
        <w:tabs>
          <w:tab w:val="left" w:pos="900"/>
        </w:tabs>
        <w:spacing w:line="590" w:lineRule="exact"/>
        <w:ind w:firstLine="640" w:firstLineChars="200"/>
        <w:rPr>
          <w:rFonts w:ascii="仿宋_GB2312" w:hAnsi="仿宋"/>
          <w:color w:val="000000"/>
          <w:szCs w:val="32"/>
        </w:rPr>
      </w:pPr>
      <w:r>
        <w:rPr>
          <w:rFonts w:hint="eastAsia" w:ascii="楷体_GB2312" w:hAnsi="仿宋" w:eastAsia="楷体_GB2312"/>
          <w:kern w:val="0"/>
          <w:szCs w:val="32"/>
        </w:rPr>
        <w:t>（一）公务支出公款消费总体情况</w:t>
      </w:r>
    </w:p>
    <w:p>
      <w:pPr>
        <w:tabs>
          <w:tab w:val="left" w:pos="900"/>
        </w:tabs>
        <w:spacing w:line="590" w:lineRule="exact"/>
        <w:ind w:firstLine="640" w:firstLineChars="200"/>
        <w:rPr>
          <w:rFonts w:ascii="仿宋_GB2312" w:hAnsi="仿宋"/>
          <w:szCs w:val="32"/>
        </w:rPr>
      </w:pPr>
      <w:r>
        <w:rPr>
          <w:rFonts w:hint="eastAsia" w:ascii="仿宋_GB2312" w:hAnsi="仿宋"/>
          <w:color w:val="000000"/>
          <w:szCs w:val="32"/>
        </w:rPr>
        <w:t>摸清各协会</w:t>
      </w:r>
      <w:r>
        <w:rPr>
          <w:rFonts w:hint="eastAsia" w:ascii="仿宋_GB2312" w:hAnsi="仿宋"/>
          <w:szCs w:val="32"/>
        </w:rPr>
        <w:t>公务支出公款消费总体规模和结构，通过对相关的数据进行比较，分析年度公务支出公款消费情况和对中央八项规定精神等政策规定的总体执行情况。</w:t>
      </w:r>
    </w:p>
    <w:p>
      <w:pPr>
        <w:numPr>
          <w:ilvl w:val="0"/>
          <w:numId w:val="1"/>
        </w:numPr>
        <w:tabs>
          <w:tab w:val="left" w:pos="900"/>
        </w:tabs>
        <w:spacing w:line="590" w:lineRule="exact"/>
        <w:ind w:firstLine="640" w:firstLineChars="200"/>
        <w:rPr>
          <w:rFonts w:hint="eastAsia" w:ascii="楷体_GB2312" w:hAnsi="仿宋" w:eastAsia="楷体_GB2312"/>
          <w:kern w:val="0"/>
          <w:szCs w:val="32"/>
        </w:rPr>
      </w:pPr>
      <w:r>
        <w:rPr>
          <w:rFonts w:hint="eastAsia" w:ascii="楷体_GB2312" w:hAnsi="仿宋" w:eastAsia="楷体_GB2312"/>
          <w:kern w:val="0"/>
          <w:szCs w:val="32"/>
        </w:rPr>
        <w:t>“三公”经费支出情况</w:t>
      </w:r>
    </w:p>
    <w:p>
      <w:pPr>
        <w:numPr>
          <w:ilvl w:val="0"/>
          <w:numId w:val="2"/>
        </w:numPr>
        <w:tabs>
          <w:tab w:val="left" w:pos="900"/>
          <w:tab w:val="clear" w:pos="312"/>
        </w:tabs>
        <w:spacing w:line="590" w:lineRule="exact"/>
        <w:ind w:left="800" w:leftChars="0" w:firstLine="0" w:firstLineChars="0"/>
        <w:rPr>
          <w:rFonts w:hint="eastAsia" w:ascii="仿宋_GB2312" w:hAnsi="仿宋"/>
          <w:szCs w:val="32"/>
          <w:lang w:eastAsia="zh-CN"/>
        </w:rPr>
      </w:pPr>
      <w:r>
        <w:rPr>
          <w:rFonts w:hint="eastAsia" w:ascii="仿宋_GB2312" w:hAnsi="仿宋"/>
          <w:szCs w:val="32"/>
        </w:rPr>
        <w:t>因公出国（境）经费。</w:t>
      </w:r>
      <w:r>
        <w:rPr>
          <w:rFonts w:hint="eastAsia" w:ascii="仿宋_GB2312" w:hAnsi="仿宋"/>
          <w:szCs w:val="32"/>
          <w:lang w:eastAsia="zh-CN"/>
        </w:rPr>
        <w:t>一</w:t>
      </w:r>
      <w:r>
        <w:rPr>
          <w:rFonts w:hint="eastAsia" w:ascii="仿宋_GB2312" w:hAnsi="仿宋"/>
          <w:szCs w:val="32"/>
        </w:rPr>
        <w:t>是重点审计</w:t>
      </w:r>
      <w:r>
        <w:rPr>
          <w:rFonts w:hint="eastAsia" w:ascii="仿宋_GB2312" w:hAnsi="仿宋"/>
          <w:szCs w:val="32"/>
          <w:lang w:eastAsia="zh-CN"/>
        </w:rPr>
        <w:t>协会</w:t>
      </w:r>
      <w:r>
        <w:rPr>
          <w:rFonts w:hint="eastAsia" w:ascii="仿宋_GB2312" w:hAnsi="仿宋"/>
          <w:szCs w:val="32"/>
        </w:rPr>
        <w:t>是</w:t>
      </w:r>
      <w:r>
        <w:rPr>
          <w:rFonts w:hint="eastAsia" w:ascii="仿宋_GB2312" w:hAnsi="仿宋"/>
          <w:szCs w:val="32"/>
          <w:lang w:eastAsia="zh-CN"/>
        </w:rPr>
        <w:t>否存在</w:t>
      </w:r>
    </w:p>
    <w:p>
      <w:pPr>
        <w:numPr>
          <w:ilvl w:val="0"/>
          <w:numId w:val="0"/>
        </w:numPr>
        <w:tabs>
          <w:tab w:val="left" w:pos="900"/>
        </w:tabs>
        <w:spacing w:line="590" w:lineRule="exact"/>
        <w:rPr>
          <w:rFonts w:hint="eastAsia" w:ascii="仿宋_GB2312" w:hAnsi="仿宋"/>
          <w:szCs w:val="32"/>
          <w:lang w:eastAsia="zh-CN"/>
        </w:rPr>
      </w:pPr>
      <w:r>
        <w:rPr>
          <w:rFonts w:hint="eastAsia" w:ascii="仿宋_GB2312" w:hAnsi="仿宋"/>
          <w:szCs w:val="32"/>
          <w:lang w:eastAsia="zh-CN"/>
        </w:rPr>
        <w:t>相关人员因私出国的费用列支</w:t>
      </w:r>
      <w:r>
        <w:rPr>
          <w:rFonts w:hint="eastAsia" w:ascii="仿宋_GB2312" w:hAnsi="仿宋"/>
          <w:szCs w:val="32"/>
        </w:rPr>
        <w:t>。</w:t>
      </w:r>
      <w:r>
        <w:rPr>
          <w:rFonts w:hint="eastAsia" w:ascii="仿宋_GB2312" w:hAnsi="仿宋"/>
          <w:szCs w:val="32"/>
          <w:lang w:eastAsia="zh-CN"/>
        </w:rPr>
        <w:t>二</w:t>
      </w:r>
      <w:r>
        <w:rPr>
          <w:rFonts w:hint="eastAsia" w:ascii="仿宋_GB2312" w:hAnsi="仿宋"/>
          <w:szCs w:val="32"/>
        </w:rPr>
        <w:t>是关注公务出国是否借机游山玩水，变更行程绕道绕远</w:t>
      </w:r>
      <w:r>
        <w:rPr>
          <w:rFonts w:hint="eastAsia" w:ascii="仿宋_GB2312" w:hAnsi="仿宋"/>
          <w:szCs w:val="32"/>
          <w:lang w:eastAsia="zh-CN"/>
        </w:rPr>
        <w:t>。三是是否存在其他单位因公出国经费在文艺家协会摊派的现象。</w:t>
      </w:r>
    </w:p>
    <w:p>
      <w:pPr>
        <w:numPr>
          <w:ilvl w:val="0"/>
          <w:numId w:val="0"/>
        </w:numPr>
        <w:tabs>
          <w:tab w:val="left" w:pos="900"/>
        </w:tabs>
        <w:spacing w:line="590" w:lineRule="exact"/>
        <w:ind w:firstLine="640" w:firstLineChars="200"/>
        <w:rPr>
          <w:rFonts w:hint="eastAsia" w:ascii="仿宋_GB2312" w:hAnsi="仿宋"/>
          <w:szCs w:val="32"/>
          <w:highlight w:val="yellow"/>
        </w:rPr>
      </w:pPr>
      <w:r>
        <w:rPr>
          <w:rFonts w:hint="eastAsia" w:ascii="仿宋_GB2312" w:hAnsi="仿宋"/>
          <w:szCs w:val="32"/>
          <w:lang w:val="en-US" w:eastAsia="zh-CN"/>
        </w:rPr>
        <w:t>2.</w:t>
      </w:r>
      <w:r>
        <w:rPr>
          <w:rFonts w:hint="eastAsia" w:ascii="仿宋_GB2312" w:hAnsi="仿宋"/>
          <w:szCs w:val="32"/>
        </w:rPr>
        <w:t>公务用车购置及运行费。一是摸清</w:t>
      </w:r>
      <w:r>
        <w:rPr>
          <w:rFonts w:hint="eastAsia" w:ascii="仿宋_GB2312" w:hAnsi="仿宋"/>
          <w:szCs w:val="32"/>
          <w:lang w:eastAsia="zh-CN"/>
        </w:rPr>
        <w:t>协会公务用车运行情况，是否存在</w:t>
      </w:r>
      <w:r>
        <w:rPr>
          <w:rFonts w:hint="eastAsia" w:ascii="仿宋_GB2312" w:hAnsi="仿宋"/>
          <w:szCs w:val="32"/>
        </w:rPr>
        <w:t>大额加油支出</w:t>
      </w:r>
      <w:r>
        <w:rPr>
          <w:rFonts w:hint="eastAsia" w:ascii="仿宋_GB2312" w:hAnsi="仿宋"/>
          <w:szCs w:val="32"/>
          <w:lang w:eastAsia="zh-CN"/>
        </w:rPr>
        <w:t>费用</w:t>
      </w:r>
      <w:r>
        <w:rPr>
          <w:rFonts w:hint="eastAsia" w:ascii="仿宋_GB2312" w:hAnsi="仿宋"/>
          <w:szCs w:val="32"/>
        </w:rPr>
        <w:t>，审查有无违规购买加油卡、资金挂账等各种违规行为。</w:t>
      </w:r>
      <w:r>
        <w:rPr>
          <w:rFonts w:hint="eastAsia" w:ascii="仿宋_GB2312" w:hAnsi="仿宋"/>
          <w:szCs w:val="32"/>
          <w:lang w:eastAsia="zh-CN"/>
        </w:rPr>
        <w:t>二</w:t>
      </w:r>
      <w:r>
        <w:rPr>
          <w:rFonts w:hint="eastAsia" w:ascii="仿宋_GB2312" w:hAnsi="仿宋"/>
          <w:szCs w:val="32"/>
        </w:rPr>
        <w:t>是重点关注</w:t>
      </w:r>
      <w:r>
        <w:rPr>
          <w:rFonts w:hint="eastAsia" w:ascii="仿宋_GB2312" w:hAnsi="仿宋"/>
          <w:szCs w:val="32"/>
          <w:lang w:eastAsia="zh-CN"/>
        </w:rPr>
        <w:t>是否存在</w:t>
      </w:r>
      <w:r>
        <w:rPr>
          <w:rFonts w:hint="eastAsia" w:ascii="仿宋_GB2312" w:hAnsi="仿宋"/>
          <w:szCs w:val="32"/>
        </w:rPr>
        <w:t>违规使用车辆、超范围超标准发放公车补贴、违规公务租车、公车私用、私车公养等问题。</w:t>
      </w:r>
    </w:p>
    <w:p>
      <w:pPr>
        <w:tabs>
          <w:tab w:val="left" w:pos="900"/>
        </w:tabs>
        <w:spacing w:line="590" w:lineRule="exact"/>
        <w:ind w:firstLine="640" w:firstLineChars="200"/>
        <w:rPr>
          <w:rFonts w:ascii="仿宋_GB2312" w:hAnsi="仿宋"/>
          <w:szCs w:val="32"/>
        </w:rPr>
      </w:pPr>
      <w:r>
        <w:rPr>
          <w:rFonts w:hint="eastAsia" w:ascii="仿宋_GB2312" w:hAnsi="仿宋"/>
          <w:szCs w:val="32"/>
          <w:lang w:val="en-US" w:eastAsia="zh-CN"/>
        </w:rPr>
        <w:t>3.</w:t>
      </w:r>
      <w:r>
        <w:rPr>
          <w:rFonts w:hint="eastAsia" w:ascii="仿宋_GB2312" w:hAnsi="仿宋"/>
          <w:szCs w:val="32"/>
        </w:rPr>
        <w:t>公务接待费。</w:t>
      </w:r>
      <w:r>
        <w:rPr>
          <w:rFonts w:hint="eastAsia" w:ascii="仿宋_GB2312" w:hAnsi="仿宋"/>
          <w:color w:val="000000"/>
          <w:szCs w:val="32"/>
        </w:rPr>
        <w:t>一是摸清各协会公务接待费支出数，分析增减变化的原因。二是重点关注以接待名义在培训中心、农家乐等隐蔽场所违规公款吃喝问题。三是关注有无超标准接待，用公款购买纪念品土特产、安排旅游考察等违规问题。四是关注费用报销是否合规，有无将大额消费拆分成多个小额发票报销，或长期在饭店挂账事后一起结账问题,</w:t>
      </w:r>
      <w:r>
        <w:rPr>
          <w:rFonts w:hint="eastAsia" w:ascii="仿宋_GB2312" w:hAnsi="仿宋"/>
          <w:szCs w:val="32"/>
        </w:rPr>
        <w:t>报销费用</w:t>
      </w:r>
      <w:r>
        <w:rPr>
          <w:rFonts w:hint="eastAsia" w:ascii="仿宋_GB2312" w:hAnsi="仿宋"/>
          <w:color w:val="000000"/>
          <w:szCs w:val="32"/>
        </w:rPr>
        <w:t>有无</w:t>
      </w:r>
      <w:r>
        <w:rPr>
          <w:rFonts w:hint="eastAsia" w:ascii="仿宋_GB2312" w:hAnsi="仿宋"/>
          <w:szCs w:val="32"/>
        </w:rPr>
        <w:t>公函和清单。</w:t>
      </w:r>
    </w:p>
    <w:p>
      <w:pPr>
        <w:tabs>
          <w:tab w:val="left" w:pos="900"/>
        </w:tabs>
        <w:spacing w:line="590" w:lineRule="exact"/>
        <w:ind w:firstLine="640" w:firstLineChars="200"/>
        <w:rPr>
          <w:rFonts w:ascii="楷体_GB2312" w:hAnsi="仿宋" w:eastAsia="楷体_GB2312"/>
          <w:kern w:val="0"/>
          <w:szCs w:val="32"/>
        </w:rPr>
      </w:pPr>
      <w:r>
        <w:rPr>
          <w:rFonts w:hint="eastAsia" w:ascii="楷体_GB2312" w:hAnsi="仿宋" w:eastAsia="楷体_GB2312"/>
          <w:kern w:val="0"/>
          <w:szCs w:val="32"/>
        </w:rPr>
        <w:t>（三）会议费、培训费支出情况</w:t>
      </w:r>
    </w:p>
    <w:p>
      <w:pPr>
        <w:tabs>
          <w:tab w:val="left" w:pos="900"/>
        </w:tabs>
        <w:spacing w:line="590" w:lineRule="exact"/>
        <w:ind w:firstLine="640" w:firstLineChars="200"/>
        <w:rPr>
          <w:rFonts w:ascii="仿宋_GB2312"/>
        </w:rPr>
      </w:pPr>
      <w:r>
        <w:rPr>
          <w:rFonts w:hint="eastAsia" w:ascii="仿宋_GB2312"/>
        </w:rPr>
        <w:t>一是摸清各协会会议费、培训费支出数和会议、培训次数</w:t>
      </w:r>
      <w:r>
        <w:rPr>
          <w:rFonts w:hint="eastAsia" w:ascii="仿宋_GB2312" w:hAnsi="仿宋"/>
          <w:color w:val="000000"/>
          <w:szCs w:val="32"/>
        </w:rPr>
        <w:t>，分析增减变化的原因</w:t>
      </w:r>
      <w:r>
        <w:rPr>
          <w:rFonts w:hint="eastAsia" w:ascii="仿宋_GB2312"/>
        </w:rPr>
        <w:t>。二是重点审计各协会会议、培训真实性，是否存在超规模、超时间、超标准及未在定点场所开会和培训，有无转嫁摊派费用、违规收费，有无在会议费培训费中列支接待费等非会议培训支出，有无违规挂账等问题。三是关注是否存在组织高消费娱乐、健身活动，有无发放纪念品等问题。四是关注各单位是否制订了会议、培训等内部管理制度，会议培训报销资料是否真实、完整，审批程序是否到位。</w:t>
      </w:r>
    </w:p>
    <w:p>
      <w:pPr>
        <w:tabs>
          <w:tab w:val="left" w:pos="900"/>
        </w:tabs>
        <w:spacing w:line="590" w:lineRule="exact"/>
        <w:ind w:firstLine="640" w:firstLineChars="200"/>
        <w:rPr>
          <w:rFonts w:ascii="楷体_GB2312" w:eastAsia="楷体_GB2312"/>
          <w:kern w:val="0"/>
          <w:szCs w:val="32"/>
        </w:rPr>
      </w:pPr>
      <w:r>
        <w:rPr>
          <w:rFonts w:hint="eastAsia" w:ascii="楷体_GB2312" w:hAnsi="宋体" w:eastAsia="楷体_GB2312"/>
          <w:szCs w:val="32"/>
        </w:rPr>
        <w:t>（四）</w:t>
      </w:r>
      <w:r>
        <w:rPr>
          <w:rFonts w:hint="eastAsia" w:ascii="楷体_GB2312" w:eastAsia="楷体_GB2312"/>
          <w:kern w:val="0"/>
          <w:szCs w:val="32"/>
        </w:rPr>
        <w:t>规范津补贴情况</w:t>
      </w:r>
    </w:p>
    <w:p>
      <w:pPr>
        <w:tabs>
          <w:tab w:val="left" w:pos="900"/>
        </w:tabs>
        <w:spacing w:line="590" w:lineRule="exact"/>
        <w:ind w:firstLine="640" w:firstLineChars="200"/>
        <w:rPr>
          <w:rFonts w:ascii="仿宋_GB2312" w:hAnsi="仿宋"/>
          <w:szCs w:val="32"/>
        </w:rPr>
      </w:pPr>
      <w:r>
        <w:rPr>
          <w:rFonts w:hint="eastAsia" w:ascii="仿宋_GB2312" w:hAnsi="仿宋"/>
          <w:szCs w:val="32"/>
        </w:rPr>
        <w:t>重点审计各协会有无违反规范津补贴规定，通过虚假支出、收入不入账等方式套取资金设立“小金库”，在专项经费、会议费、培训费中列支，或违规发放津补贴、奖金等问题，重点关注有无违反规定购买卡、券问题。</w:t>
      </w:r>
    </w:p>
    <w:p>
      <w:pPr>
        <w:tabs>
          <w:tab w:val="left" w:pos="900"/>
        </w:tabs>
        <w:spacing w:line="590" w:lineRule="exact"/>
        <w:ind w:firstLine="640" w:firstLineChars="200"/>
        <w:rPr>
          <w:rFonts w:ascii="楷体_GB2312" w:eastAsia="楷体_GB2312"/>
          <w:kern w:val="0"/>
          <w:szCs w:val="32"/>
        </w:rPr>
      </w:pPr>
      <w:r>
        <w:rPr>
          <w:rFonts w:hint="eastAsia" w:ascii="楷体_GB2312" w:eastAsia="楷体_GB2312"/>
          <w:kern w:val="0"/>
          <w:szCs w:val="32"/>
        </w:rPr>
        <w:t>（五）劳务费发放情况</w:t>
      </w:r>
    </w:p>
    <w:p>
      <w:pPr>
        <w:rPr>
          <w:rFonts w:ascii="仿宋_GB2312" w:hAnsi="仿宋"/>
          <w:szCs w:val="32"/>
        </w:rPr>
      </w:pPr>
      <w:r>
        <w:rPr>
          <w:rFonts w:hint="eastAsia" w:ascii="仿宋_GB2312" w:hAnsi="仿宋"/>
          <w:szCs w:val="32"/>
        </w:rPr>
        <w:t xml:space="preserve">    重点审计劳务的发放是否符合相关的规定与标准，是否存在本系统单位在编人员领取劳务报酬的现象。重点关注1000元以上的劳务费有无以现金方式发放。</w:t>
      </w:r>
    </w:p>
    <w:p>
      <w:pPr>
        <w:numPr>
          <w:ilvl w:val="0"/>
          <w:numId w:val="3"/>
        </w:numPr>
        <w:ind w:left="800" w:leftChars="0" w:firstLine="0" w:firstLineChars="0"/>
        <w:rPr>
          <w:rFonts w:hint="eastAsia" w:ascii="楷体_GB2312" w:eastAsia="楷体_GB2312"/>
          <w:kern w:val="0"/>
          <w:szCs w:val="32"/>
        </w:rPr>
      </w:pPr>
      <w:r>
        <w:rPr>
          <w:rFonts w:hint="eastAsia" w:ascii="楷体_GB2312" w:eastAsia="楷体_GB2312"/>
          <w:kern w:val="0"/>
          <w:szCs w:val="32"/>
        </w:rPr>
        <w:t>公款存放情况</w:t>
      </w:r>
    </w:p>
    <w:p>
      <w:pPr>
        <w:spacing w:line="590" w:lineRule="exact"/>
        <w:ind w:firstLine="645"/>
        <w:rPr>
          <w:rFonts w:hint="eastAsia" w:ascii="仿宋_GB2312" w:hAnsi="仿宋"/>
          <w:szCs w:val="32"/>
        </w:rPr>
      </w:pPr>
      <w:r>
        <w:rPr>
          <w:rFonts w:hint="eastAsia" w:ascii="仿宋_GB2312" w:hAnsi="仿宋"/>
          <w:szCs w:val="32"/>
        </w:rPr>
        <w:t>重点审计是否存在公款私存的问题，协会的考级、会员、服务等收入是否存在存入私人账户的问题。重点关注各协会负责人是否严格实行利益回避制度，是否存在银行开户过多问题。</w:t>
      </w:r>
    </w:p>
    <w:p>
      <w:pPr>
        <w:ind w:firstLine="640" w:firstLineChars="200"/>
        <w:rPr>
          <w:rFonts w:hint="eastAsia" w:ascii="楷体_GB2312" w:eastAsia="楷体_GB2312"/>
          <w:kern w:val="0"/>
          <w:szCs w:val="32"/>
        </w:rPr>
      </w:pPr>
      <w:r>
        <w:rPr>
          <w:rFonts w:hint="eastAsia" w:ascii="楷体_GB2312" w:eastAsia="楷体_GB2312"/>
          <w:kern w:val="0"/>
          <w:szCs w:val="32"/>
          <w:lang w:eastAsia="zh-CN"/>
        </w:rPr>
        <w:t>（七）</w:t>
      </w:r>
      <w:r>
        <w:rPr>
          <w:rFonts w:hint="eastAsia" w:ascii="楷体_GB2312" w:eastAsia="楷体_GB2312"/>
          <w:kern w:val="0"/>
          <w:szCs w:val="32"/>
        </w:rPr>
        <w:t>政府购买服务专款专用情况</w:t>
      </w:r>
    </w:p>
    <w:p>
      <w:pPr>
        <w:spacing w:line="590" w:lineRule="exact"/>
        <w:ind w:firstLine="645"/>
        <w:rPr>
          <w:rFonts w:hint="eastAsia" w:ascii="仿宋_GB2312" w:hAnsi="仿宋"/>
          <w:szCs w:val="32"/>
        </w:rPr>
      </w:pPr>
      <w:r>
        <w:rPr>
          <w:rFonts w:hint="eastAsia" w:ascii="仿宋_GB2312" w:hAnsi="仿宋"/>
          <w:szCs w:val="32"/>
        </w:rPr>
        <w:t>重点审计各文艺家协会关于财政、文联购买其服务的项目是否做了专款专用，相关支出是否符合相关规定和标准，关注相关的程序与资料是否完整。</w:t>
      </w:r>
    </w:p>
    <w:p>
      <w:pPr>
        <w:numPr>
          <w:ilvl w:val="0"/>
          <w:numId w:val="0"/>
        </w:numPr>
        <w:ind w:left="800" w:leftChars="0"/>
        <w:rPr>
          <w:rFonts w:hint="eastAsia" w:ascii="楷体_GB2312" w:eastAsia="楷体_GB2312"/>
          <w:kern w:val="0"/>
          <w:szCs w:val="32"/>
          <w:lang w:eastAsia="zh-CN"/>
        </w:rPr>
      </w:pPr>
      <w:r>
        <w:rPr>
          <w:rFonts w:hint="eastAsia" w:ascii="楷体_GB2312" w:eastAsia="楷体_GB2312"/>
          <w:kern w:val="0"/>
          <w:szCs w:val="32"/>
          <w:lang w:eastAsia="zh-CN"/>
        </w:rPr>
        <w:t>（八）扶持经费使用情况</w:t>
      </w:r>
    </w:p>
    <w:p>
      <w:pPr>
        <w:numPr>
          <w:ilvl w:val="0"/>
          <w:numId w:val="0"/>
        </w:numPr>
        <w:ind w:firstLine="640" w:firstLineChars="200"/>
        <w:rPr>
          <w:rFonts w:hint="eastAsia" w:ascii="楷体_GB2312" w:eastAsia="楷体_GB2312"/>
          <w:kern w:val="0"/>
          <w:szCs w:val="32"/>
          <w:lang w:val="en-US" w:eastAsia="zh-CN"/>
        </w:rPr>
      </w:pPr>
      <w:r>
        <w:rPr>
          <w:rFonts w:hint="eastAsia" w:ascii="仿宋_GB2312" w:hAnsi="仿宋"/>
          <w:szCs w:val="32"/>
          <w:lang w:eastAsia="zh-CN"/>
        </w:rPr>
        <w:t>重点审计根据</w:t>
      </w:r>
      <w:r>
        <w:rPr>
          <w:rFonts w:hint="eastAsia" w:ascii="仿宋_GB2312" w:hAnsi="仿宋"/>
          <w:szCs w:val="32"/>
          <w:lang w:val="en-US" w:eastAsia="zh-CN"/>
        </w:rPr>
        <w:t>宁波市文艺人才培养扶持办法，对新加入全国、省各文艺家协会会员给予一次性创作经费补助的发放，文艺大众哺育工程对个人项目的扶持与补助，各协会是否严格按照主席团会议讨论通过的细则执行。</w:t>
      </w:r>
      <w:r>
        <w:rPr>
          <w:rFonts w:hint="eastAsia" w:ascii="楷体_GB2312" w:eastAsia="楷体_GB2312"/>
          <w:kern w:val="0"/>
          <w:szCs w:val="32"/>
          <w:lang w:val="en-US" w:eastAsia="zh-CN"/>
        </w:rPr>
        <w:t xml:space="preserve">   </w:t>
      </w:r>
    </w:p>
    <w:p>
      <w:pPr>
        <w:rPr>
          <w:rFonts w:ascii="楷体_GB2312" w:eastAsia="楷体_GB2312"/>
          <w:kern w:val="0"/>
          <w:szCs w:val="32"/>
        </w:rPr>
      </w:pPr>
      <w:r>
        <w:rPr>
          <w:rFonts w:hint="eastAsia" w:ascii="黑体" w:hAnsi="黑体" w:eastAsia="黑体"/>
        </w:rPr>
        <w:t xml:space="preserve">     </w:t>
      </w:r>
      <w:r>
        <w:rPr>
          <w:rFonts w:hint="eastAsia" w:ascii="楷体_GB2312" w:eastAsia="楷体_GB2312"/>
          <w:kern w:val="0"/>
          <w:szCs w:val="32"/>
        </w:rPr>
        <w:t>（</w:t>
      </w:r>
      <w:r>
        <w:rPr>
          <w:rFonts w:hint="eastAsia" w:ascii="楷体_GB2312" w:eastAsia="楷体_GB2312"/>
          <w:kern w:val="0"/>
          <w:szCs w:val="32"/>
          <w:lang w:eastAsia="zh-CN"/>
        </w:rPr>
        <w:t>九</w:t>
      </w:r>
      <w:r>
        <w:rPr>
          <w:rFonts w:hint="eastAsia" w:ascii="楷体_GB2312" w:eastAsia="楷体_GB2312"/>
          <w:kern w:val="0"/>
          <w:szCs w:val="32"/>
        </w:rPr>
        <w:t>）其他经费使用情况</w:t>
      </w:r>
    </w:p>
    <w:p>
      <w:pPr>
        <w:rPr>
          <w:rFonts w:hint="eastAsia" w:ascii="仿宋_GB2312" w:hAnsi="仿宋"/>
          <w:szCs w:val="32"/>
        </w:rPr>
      </w:pPr>
      <w:r>
        <w:rPr>
          <w:rFonts w:hint="eastAsia" w:ascii="楷体_GB2312" w:eastAsia="楷体_GB2312"/>
          <w:kern w:val="0"/>
          <w:szCs w:val="32"/>
        </w:rPr>
        <w:t xml:space="preserve">    </w:t>
      </w:r>
      <w:r>
        <w:rPr>
          <w:rFonts w:hint="eastAsia" w:ascii="仿宋_GB2312" w:hAnsi="仿宋"/>
          <w:szCs w:val="32"/>
        </w:rPr>
        <w:t xml:space="preserve"> 重点检查各协会是否已就历次审计、专项检查中发现的问题进行了整改，重点关注是否存在其他的违规行为等。</w:t>
      </w:r>
    </w:p>
    <w:p>
      <w:pPr>
        <w:rPr>
          <w:rFonts w:hint="eastAsia" w:ascii="仿宋_GB2312" w:hAnsi="仿宋"/>
          <w:szCs w:val="32"/>
        </w:rPr>
      </w:pPr>
    </w:p>
    <w:p>
      <w:pPr>
        <w:rPr>
          <w:rFonts w:hint="eastAsia" w:ascii="仿宋_GB2312" w:hAnsi="仿宋"/>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C2EC4"/>
    <w:multiLevelType w:val="singleLevel"/>
    <w:tmpl w:val="F62C2EC4"/>
    <w:lvl w:ilvl="0" w:tentative="0">
      <w:start w:val="1"/>
      <w:numFmt w:val="decimal"/>
      <w:lvlText w:val="%1."/>
      <w:lvlJc w:val="left"/>
      <w:pPr>
        <w:tabs>
          <w:tab w:val="left" w:pos="312"/>
        </w:tabs>
        <w:ind w:left="800" w:leftChars="0" w:firstLine="0" w:firstLineChars="0"/>
      </w:pPr>
    </w:lvl>
  </w:abstractNum>
  <w:abstractNum w:abstractNumId="1">
    <w:nsid w:val="094B7D57"/>
    <w:multiLevelType w:val="singleLevel"/>
    <w:tmpl w:val="094B7D57"/>
    <w:lvl w:ilvl="0" w:tentative="0">
      <w:start w:val="2"/>
      <w:numFmt w:val="chineseCounting"/>
      <w:suff w:val="nothing"/>
      <w:lvlText w:val="（%1）"/>
      <w:lvlJc w:val="left"/>
      <w:rPr>
        <w:rFonts w:hint="eastAsia"/>
      </w:rPr>
    </w:lvl>
  </w:abstractNum>
  <w:abstractNum w:abstractNumId="2">
    <w:nsid w:val="4E0167AC"/>
    <w:multiLevelType w:val="singleLevel"/>
    <w:tmpl w:val="4E0167AC"/>
    <w:lvl w:ilvl="0" w:tentative="0">
      <w:start w:val="6"/>
      <w:numFmt w:val="chineseCounting"/>
      <w:suff w:val="nothing"/>
      <w:lvlText w:val="（%1）"/>
      <w:lvlJc w:val="left"/>
      <w:pPr>
        <w:ind w:left="800" w:leftChars="0" w:firstLine="0" w:firstLineChars="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848FB"/>
    <w:rsid w:val="1538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2019-09-10T07:24:00Z</dcterms:created>
  <dc:creator>Administrator</dc:creator>
  <cp:lastModifiedBy>Administrator</cp:lastModifiedBy>
  <dcterms:modified xsi:type="dcterms:W3CDTF">2019-09-10T07:29:57Z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